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Iberschrift240pt24Abstand"/>
        <w:rPr/>
      </w:pPr>
      <w:r>
        <w:rPr>
          <w:rFonts w:cs="Arial" w:ascii="Amnesty Trade Gothic" w:hAnsi="Amnesty Trade Gothic"/>
          <w:b/>
          <w:sz w:val="23"/>
          <w:szCs w:val="23"/>
          <w:lang w:val="de-DE"/>
        </w:rPr>
        <w:t>FINNLAND: STERILIsation</w:t>
      </w:r>
      <w:r>
        <w:rPr>
          <w:rFonts w:cs="Arial" w:ascii="Amnesty Trade Gothic" w:hAnsi="Amnesty Trade Gothic"/>
          <w:b/>
          <w:sz w:val="23"/>
          <w:szCs w:val="23"/>
          <w:lang w:val="de-DE"/>
        </w:rPr>
        <w:t>SZWANG</w:t>
      </w:r>
      <w:r>
        <w:rPr>
          <w:rFonts w:cs="Arial" w:ascii="Amnesty Trade Gothic" w:hAnsi="Amnesty Trade Gothic"/>
          <w:b/>
          <w:sz w:val="23"/>
          <w:szCs w:val="23"/>
          <w:lang w:val="de-DE"/>
        </w:rPr>
        <w:t xml:space="preserve"> Beenden!</w:t>
      </w:r>
    </w:p>
    <w:p>
      <w:pPr>
        <w:pStyle w:val="AIFliesstextATG10"/>
        <w:rPr>
          <w:rFonts w:ascii="Amnesty Trade Gothic" w:hAnsi="Amnesty Trade Gothic" w:cs="Arial"/>
          <w:sz w:val="23"/>
          <w:szCs w:val="23"/>
        </w:rPr>
      </w:pPr>
      <w:r>
        <w:rPr>
          <w:rFonts w:cs="Arial"/>
          <w:sz w:val="23"/>
          <w:szCs w:val="23"/>
        </w:rPr>
        <w:br/>
        <w:t>Sehr geehrter Premierminister,</w:t>
      </w:r>
    </w:p>
    <w:p>
      <w:pPr>
        <w:pStyle w:val="Normal"/>
        <w:spacing w:before="0" w:after="120"/>
        <w:jc w:val="both"/>
        <w:rPr>
          <w:rFonts w:ascii="Amnesty Trade Gothic" w:hAnsi="Amnesty Trade Gothic"/>
          <w:sz w:val="23"/>
          <w:szCs w:val="23"/>
        </w:rPr>
      </w:pPr>
      <w:r>
        <w:rPr>
          <w:sz w:val="23"/>
          <w:szCs w:val="23"/>
          <w:lang w:val="de-DE"/>
        </w:rPr>
        <w:t>jede Person hat ein Menschenrecht auf Anerkennung ihrer Geschlechtsidentität. In Finnland besteht zwar die Möglichkeit zur Änderung des rechtlichen Geschlechts, jedoch nur unter streng geregelten Voraussetzungen. Dem finnischen Transsexuellengesetz zufolge müssen Antragsteller*innen unter anderem ein psychiatrisches Gutachten vorweisen, das ihr dauerhaftes Zugehörigkeitsgefühl zum „anderen“ Geschlecht bestätigt; sie müssen in der entsprechenden Geschlechterrolle leben; und sie müssen sich einer Sterilisierung unterziehen oder „aus anderen Gründen unfruchtbar“ sein. Das Gesetz beschränkt die Möglichkeit der Geschlechtsanerkennung zudem auf Personen, die mindestens achtzehn Jahre alt sind. Der gesamte Prozess ist aufwendig, stigmatisierend, und kann über d</w:t>
      </w:r>
      <w:bookmarkStart w:id="0" w:name="_GoBack"/>
      <w:bookmarkEnd w:id="0"/>
      <w:r>
        <w:rPr>
          <w:sz w:val="23"/>
          <w:szCs w:val="23"/>
          <w:lang w:val="de-DE"/>
        </w:rPr>
        <w:t>rei Jahre in Anspruch nehmen.</w:t>
      </w:r>
    </w:p>
    <w:p>
      <w:pPr>
        <w:pStyle w:val="Normal"/>
        <w:spacing w:before="0" w:after="120"/>
        <w:jc w:val="both"/>
        <w:rPr>
          <w:rFonts w:ascii="Amnesty Trade Gothic" w:hAnsi="Amnesty Trade Gothic"/>
          <w:sz w:val="23"/>
          <w:szCs w:val="23"/>
        </w:rPr>
      </w:pPr>
      <w:r>
        <w:rPr>
          <w:sz w:val="23"/>
          <w:szCs w:val="23"/>
          <w:lang w:val="de-DE"/>
        </w:rPr>
        <w:t>Aufgrund dieser Hürden bleibt Trans*Personen wie Sakris Kupila, einem 21-jährigen Medizinstudenten und Menschenrechtsaktivisten, die rechtliche Anerkennung der Geschlechtsidentität verwehrt. Zudem müssen Aktivist*innen für Trans*Rechte mit Schikanen und Diskriminierung rechnen – Sakris ist beispielsweise aufgrund seiner Arbeit als Aktivist mit Einschüchterungsversuchen konfrontiert und mit Gewalt bedroht worden, sodass er sogar sein Studium ein Jahr lang unterbrechen musste.</w:t>
      </w:r>
    </w:p>
    <w:p>
      <w:pPr>
        <w:pStyle w:val="Normal"/>
        <w:spacing w:before="0" w:after="120"/>
        <w:jc w:val="both"/>
        <w:rPr>
          <w:rFonts w:ascii="Amnesty Trade Gothic" w:hAnsi="Amnesty Trade Gothic" w:cs="Arial"/>
          <w:sz w:val="23"/>
          <w:szCs w:val="23"/>
          <w:lang w:val="de-DE"/>
        </w:rPr>
      </w:pPr>
      <w:r>
        <w:rPr>
          <w:rFonts w:cs="Arial"/>
          <w:sz w:val="23"/>
          <w:szCs w:val="23"/>
          <w:lang w:val="de-DE"/>
        </w:rPr>
        <w:t>Das momentane Verfahren zur Änderung des rechtlichen Geschlechts in Finnland ist demütigend und verstößt gegen Menschenrechte wie das Recht, frei von unmenschlicher und erniedrigender Behandlung zu sein, das Recht auf das höchste erreichbare Maß an Gesundheit, das Recht auf Privatleben (wie jüngst vom Europäischen Gerichtshof für Menschenrechte bestätigt), und das Recht auf Anerkennung als rechtsfähige Person. Zudem trägt das Gesetz, indem es Trans* Personen als Objekte der Medizin und nicht als selbstbestimmte menschliche Wesen behandelt, zu einer Atmosphäre bei, die von Feindseligkeiten und Diskriminierung geprägt ist und den Einsatz für Menschenrechte erschwert.</w:t>
      </w:r>
    </w:p>
    <w:p>
      <w:pPr>
        <w:pStyle w:val="AIberschrift320pt"/>
        <w:rPr>
          <w:rFonts w:ascii="Amnesty Trade Gothic" w:hAnsi="Amnesty Trade Gothic" w:cs="Arial"/>
          <w:sz w:val="23"/>
          <w:szCs w:val="23"/>
        </w:rPr>
      </w:pPr>
      <w:r>
        <w:rPr>
          <w:rFonts w:cs="Arial" w:ascii="Amnesty Trade Gothic" w:hAnsi="Amnesty Trade Gothic"/>
          <w:sz w:val="23"/>
          <w:szCs w:val="23"/>
        </w:rPr>
        <w:t>Deshalb fordere Ich</w:t>
      </w:r>
    </w:p>
    <w:p>
      <w:pPr>
        <w:pStyle w:val="Normal"/>
        <w:numPr>
          <w:ilvl w:val="0"/>
          <w:numId w:val="1"/>
        </w:numPr>
        <w:spacing w:before="0" w:after="120"/>
        <w:jc w:val="both"/>
        <w:rPr>
          <w:rFonts w:ascii="Amnesty Trade Gothic" w:hAnsi="Amnesty Trade Gothic"/>
          <w:sz w:val="23"/>
          <w:szCs w:val="23"/>
          <w:lang w:val="de-DE"/>
        </w:rPr>
      </w:pPr>
      <w:r>
        <w:rPr>
          <w:sz w:val="23"/>
          <w:szCs w:val="23"/>
          <w:lang w:val="de-DE"/>
        </w:rPr>
        <w:t>Sicherzustellen, dass Sakris Kupilas Geschlecht rechtlich anerkannt wird, ohne dass er sich einer Sterilisierung, sonstigen medizinischen Eingriffen oder einer psychiatrischen Diagnose unterziehen muss;</w:t>
      </w:r>
    </w:p>
    <w:p>
      <w:pPr>
        <w:pStyle w:val="Normal"/>
        <w:numPr>
          <w:ilvl w:val="0"/>
          <w:numId w:val="1"/>
        </w:numPr>
        <w:spacing w:before="0" w:after="120"/>
        <w:jc w:val="both"/>
        <w:rPr>
          <w:rFonts w:ascii="Amnesty Trade Gothic" w:hAnsi="Amnesty Trade Gothic"/>
          <w:sz w:val="23"/>
          <w:szCs w:val="23"/>
          <w:lang w:val="de-DE"/>
        </w:rPr>
      </w:pPr>
      <w:r>
        <w:rPr>
          <w:sz w:val="23"/>
          <w:szCs w:val="23"/>
          <w:lang w:val="de-DE"/>
        </w:rPr>
        <w:t>Das Transsexuellengesetz zu überarbeiten, sodass die Änderung des rechtlichen Geschlechts ohne die Voraussetzungen einer Sterilisierung, sonstiger medizinischer Eingriffe, oder einer psychiatrischen Diagnose möglich ist;</w:t>
      </w:r>
    </w:p>
    <w:p>
      <w:pPr>
        <w:pStyle w:val="Normal"/>
        <w:numPr>
          <w:ilvl w:val="0"/>
          <w:numId w:val="1"/>
        </w:numPr>
        <w:spacing w:before="0" w:after="120"/>
        <w:jc w:val="both"/>
        <w:rPr>
          <w:rFonts w:ascii="Amnesty Trade Gothic" w:hAnsi="Amnesty Trade Gothic"/>
          <w:sz w:val="23"/>
          <w:szCs w:val="23"/>
          <w:lang w:val="de-DE"/>
        </w:rPr>
      </w:pPr>
      <w:r>
        <w:rPr>
          <w:sz w:val="23"/>
          <w:szCs w:val="23"/>
          <w:lang w:val="de-DE"/>
        </w:rPr>
        <w:t>Ein Verfahren für die Änderung des rechtlichen Geschlechts zu entwickeln, das transparent und für alle unabhängig von Alter, medizinischem und finanziellem Status zugänglich ist, und das ohne zeitliche Verzögerung die Selbstbestimmung über das eigene Geschlecht ermöglicht;</w:t>
      </w:r>
    </w:p>
    <w:p>
      <w:pPr>
        <w:pStyle w:val="Normal"/>
        <w:numPr>
          <w:ilvl w:val="0"/>
          <w:numId w:val="1"/>
        </w:numPr>
        <w:spacing w:before="0" w:after="120"/>
        <w:jc w:val="both"/>
        <w:rPr>
          <w:rFonts w:ascii="Amnesty Trade Gothic" w:hAnsi="Amnesty Trade Gothic" w:cs="Arial"/>
          <w:sz w:val="23"/>
          <w:szCs w:val="23"/>
          <w:lang w:val="de-DE"/>
        </w:rPr>
      </w:pPr>
      <w:r>
        <w:rPr>
          <w:rFonts w:cs="Arial"/>
          <w:sz w:val="23"/>
          <w:szCs w:val="23"/>
          <w:lang w:val="de-DE"/>
        </w:rPr>
        <w:t xml:space="preserve">Trans*Rechte anzuerkennen und zu unterstützen, und Sorge zu tragen, dass sie von Aktivist*innen wie Sakris risikolos verteidigt werden können.   </w:t>
      </w:r>
    </w:p>
    <w:p>
      <w:pPr>
        <w:pStyle w:val="AIFliesstextATG10"/>
        <w:rPr>
          <w:rFonts w:ascii="Amnesty Trade Gothic" w:hAnsi="Amnesty Trade Gothic" w:cs="Arial"/>
          <w:sz w:val="23"/>
          <w:szCs w:val="23"/>
        </w:rPr>
      </w:pPr>
      <w:r>
        <w:rPr>
          <w:rFonts w:cs="Arial"/>
          <w:sz w:val="23"/>
          <w:szCs w:val="23"/>
        </w:rPr>
        <w:t>Hochachtungsvoll,</w:t>
      </w:r>
    </w:p>
    <w:p>
      <w:pPr>
        <w:pStyle w:val="AITabellentextATG8"/>
        <w:rPr/>
      </w:pPr>
      <w:r>
        <w:rPr/>
      </w:r>
    </w:p>
    <w:sectPr>
      <w:headerReference w:type="default" r:id="rId2"/>
      <w:headerReference w:type="first" r:id="rId3"/>
      <w:type w:val="nextPage"/>
      <w:pgSz w:w="11906" w:h="16838"/>
      <w:pgMar w:left="1418" w:right="1418" w:header="709" w:top="766" w:footer="0" w:bottom="709"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mnesty Trade Gothic">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Amnesty Trade Gothic Cn">
    <w:charset w:val="01"/>
    <w:family w:val="roman"/>
    <w:pitch w:val="variable"/>
  </w:font>
  <w:font w:name="Liberation Sans">
    <w:altName w:val="Arial"/>
    <w:charset w:val="01"/>
    <w:family w:val="roman"/>
    <w:pitch w:val="variable"/>
  </w:font>
  <w:font w:name="Arial">
    <w:charset w:val="01"/>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b/>
        <w:b/>
        <w:caps/>
        <w:color w:val="C0C0C0"/>
        <w:sz w:val="18"/>
        <w:szCs w:val="20"/>
      </w:rPr>
    </w:pPr>
    <w:r>
      <w:rPr>
        <w:rFonts w:cs="Arial" w:ascii="Arial" w:hAnsi="Arial"/>
        <w:b/>
        <w:caps/>
        <w:color w:val="C0C0C0"/>
        <w:sz w:val="18"/>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b/>
        <w:b/>
        <w:caps/>
        <w:color w:val="808080"/>
        <w:sz w:val="18"/>
        <w:szCs w:val="20"/>
      </w:rPr>
    </w:pPr>
    <w:r>
      <w:rPr>
        <w:rFonts w:cs="Arial" w:ascii="Arial" w:hAnsi="Arial"/>
        <w:b/>
        <w:caps/>
        <w:color w:val="808080"/>
        <w:sz w:val="18"/>
        <w:szCs w:val="20"/>
      </w:rPr>
      <w:t xml:space="preserve">Prime Minister Juha Sipilä </w:t>
    </w:r>
  </w:p>
  <w:p>
    <w:pPr>
      <w:pStyle w:val="Header"/>
      <w:rPr>
        <w:rFonts w:ascii="Arial" w:hAnsi="Arial" w:cs="Arial"/>
        <w:b/>
        <w:b/>
        <w:caps/>
        <w:color w:val="808080"/>
        <w:sz w:val="18"/>
        <w:szCs w:val="20"/>
      </w:rPr>
    </w:pPr>
    <w:r>
      <w:rPr>
        <w:rFonts w:cs="Arial" w:ascii="Arial" w:hAnsi="Arial"/>
        <w:b/>
        <w:caps/>
        <w:color w:val="808080"/>
        <w:sz w:val="18"/>
        <w:szCs w:val="20"/>
      </w:rPr>
      <w:t>Finnish Government</w:t>
    </w:r>
  </w:p>
  <w:p>
    <w:pPr>
      <w:pStyle w:val="Header"/>
      <w:rPr>
        <w:rFonts w:ascii="Arial" w:hAnsi="Arial" w:cs="Arial"/>
        <w:b/>
        <w:b/>
        <w:caps/>
        <w:color w:val="808080"/>
        <w:sz w:val="18"/>
        <w:szCs w:val="20"/>
      </w:rPr>
    </w:pPr>
    <w:r>
      <w:rPr>
        <w:rFonts w:cs="Arial" w:ascii="Arial" w:hAnsi="Arial"/>
        <w:b/>
        <w:caps/>
        <w:color w:val="808080"/>
        <w:sz w:val="18"/>
        <w:szCs w:val="20"/>
      </w:rPr>
      <w:t>PL 23, 00023 Valtioneuvosto</w:t>
    </w:r>
  </w:p>
  <w:p>
    <w:pPr>
      <w:pStyle w:val="Header"/>
      <w:rPr>
        <w:rFonts w:ascii="Arial" w:hAnsi="Arial" w:cs="Arial"/>
        <w:b/>
        <w:b/>
        <w:caps/>
        <w:color w:val="808080"/>
        <w:sz w:val="18"/>
        <w:szCs w:val="20"/>
      </w:rPr>
    </w:pPr>
    <w:r>
      <w:rPr>
        <w:rFonts w:cs="Arial" w:ascii="Arial" w:hAnsi="Arial"/>
        <w:b/>
        <w:caps/>
        <w:color w:val="808080"/>
        <w:sz w:val="18"/>
        <w:szCs w:val="20"/>
      </w:rPr>
      <w:t xml:space="preserve">Finland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27"/>
        </w:tabs>
        <w:ind w:left="227" w:hanging="227"/>
      </w:pPr>
      <w:rPr>
        <w:rFonts w:ascii="Wingdings" w:hAnsi="Wingdings" w:cs="Wingdings" w:hint="default"/>
        <w:sz w:val="23"/>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sz w:val="24"/>
        <w:szCs w:val="24"/>
        <w:lang w:val="en-GB" w:eastAsia="zh-CN" w:bidi="hi-IN"/>
      </w:rPr>
    </w:rPrDefault>
    <w:pPrDefault>
      <w:pPr/>
    </w:pPrDefault>
  </w:docDefaults>
  <w:style w:type="paragraph" w:styleId="Normal">
    <w:name w:val="Normal"/>
    <w:qFormat/>
    <w:pPr>
      <w:widowControl/>
      <w:overflowPunct w:val="true"/>
      <w:bidi w:val="0"/>
      <w:jc w:val="left"/>
    </w:pPr>
    <w:rPr>
      <w:rFonts w:ascii="Amnesty Trade Gothic" w:hAnsi="Amnesty Trade Gothic" w:eastAsia="Times New Roman" w:cs="Amnesty Trade Gothic"/>
      <w:color w:val="00000A"/>
      <w:sz w:val="20"/>
      <w:szCs w:val="24"/>
      <w:lang w:val="de-DE" w:eastAsia="zh-CN" w:bidi="ar-SA"/>
    </w:rPr>
  </w:style>
  <w:style w:type="character" w:styleId="WW8Num1z0">
    <w:name w:val="WW8Num1z0"/>
    <w:qFormat/>
    <w:rPr>
      <w:rFonts w:ascii="Wingdings" w:hAnsi="Wingdings" w:cs="Wingdings"/>
      <w:sz w:val="20"/>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sz w:val="16"/>
      <w:szCs w:val="16"/>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rFonts w:ascii="Courier New" w:hAnsi="Courier New" w:cs="Courier New"/>
    </w:rPr>
  </w:style>
  <w:style w:type="character" w:styleId="WW8Num3z0">
    <w:name w:val="WW8Num3z0"/>
    <w:qFormat/>
    <w:rPr>
      <w:rFonts w:ascii="Wingdings" w:hAnsi="Wingdings" w:cs="Wingdings"/>
    </w:rPr>
  </w:style>
  <w:style w:type="character" w:styleId="WW8Num3z1">
    <w:name w:val="WW8Num3z1"/>
    <w:qFormat/>
    <w:rPr>
      <w:rFonts w:ascii="Wingdings" w:hAnsi="Wingdings" w:cs="Wingdings"/>
      <w:sz w:val="16"/>
      <w:szCs w:val="16"/>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Wingdings" w:hAnsi="Wingdings" w:cs="Wingdings"/>
      <w:sz w:val="1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sz w:val="12"/>
      <w:szCs w:val="12"/>
    </w:rPr>
  </w:style>
  <w:style w:type="character" w:styleId="WW8Num10z1">
    <w:name w:val="WW8Num10z1"/>
    <w:qFormat/>
    <w:rPr>
      <w:rFonts w:ascii="Wingdings" w:hAnsi="Wingdings" w:cs="Wingdings"/>
      <w:sz w:val="16"/>
      <w:szCs w:val="16"/>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0z4">
    <w:name w:val="WW8Num10z4"/>
    <w:qFormat/>
    <w:rPr>
      <w:rFonts w:ascii="Courier New" w:hAnsi="Courier New" w:cs="Courier New"/>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cs="Wingdings"/>
      <w:sz w:val="20"/>
      <w:szCs w:val="2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AbsatzStandardschriftart">
    <w:name w:val="Absatz-Standardschriftart"/>
    <w:qFormat/>
    <w:rPr/>
  </w:style>
  <w:style w:type="character" w:styleId="PageNumber">
    <w:name w:val="Page Number"/>
    <w:basedOn w:val="AbsatzStandardschriftart"/>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AIFliesstextATG10Zchn">
    <w:name w:val="AI-Fliesstext-ATG-10 Zchn"/>
    <w:qFormat/>
    <w:rPr>
      <w:rFonts w:ascii="Amnesty Trade Gothic" w:hAnsi="Amnesty Trade Gothic" w:cs="Amnesty Trade Gothic"/>
      <w:lang w:val="de-DE" w:bidi="ar-SA"/>
    </w:rPr>
  </w:style>
  <w:style w:type="character" w:styleId="AIberschrift320pt24AbstandZchnZchn">
    <w:name w:val="AI-Überschrift3-20pt-24Abstand Zchn Zchn"/>
    <w:qFormat/>
    <w:rPr>
      <w:rFonts w:ascii="Amnesty Trade Gothic Cn" w:hAnsi="Amnesty Trade Gothic Cn" w:cs="Amnesty Trade Gothic Cn"/>
      <w:b/>
      <w:caps/>
      <w:sz w:val="40"/>
      <w:szCs w:val="24"/>
      <w:lang w:val="de-DE" w:bidi="ar-SA"/>
    </w:rPr>
  </w:style>
  <w:style w:type="character" w:styleId="AIFliesstextATG10FGRZchn">
    <w:name w:val="AI-Fliesstext-ATG-10-F-GR Zchn"/>
    <w:qFormat/>
    <w:rPr>
      <w:rFonts w:ascii="Amnesty Trade Gothic" w:hAnsi="Amnesty Trade Gothic" w:cs="Amnesty Trade Gothic"/>
      <w:b/>
      <w:caps/>
      <w:lang w:val="de-DE" w:bidi="ar-SA"/>
    </w:rPr>
  </w:style>
  <w:style w:type="character" w:styleId="AIberschrift410pt20AbstandZchnZchn">
    <w:name w:val="AI-Überschrift4-10pt-20Abstand Zchn Zchn"/>
    <w:qFormat/>
    <w:rPr>
      <w:rFonts w:ascii="Amnesty Trade Gothic Cn" w:hAnsi="Amnesty Trade Gothic Cn" w:cs="Amnesty Trade Gothic Cn"/>
      <w:b/>
      <w:bCs/>
      <w:caps/>
      <w:color w:val="000000"/>
      <w:lang w:val="de-DE" w:bidi="ar-SA"/>
    </w:rPr>
  </w:style>
  <w:style w:type="character" w:styleId="AIberschrift410ptZchn">
    <w:name w:val="AI-Überschrift4-10pt Zchn"/>
    <w:basedOn w:val="AIberschrift410pt20AbstandZchnZchn"/>
    <w:qFormat/>
    <w:rPr/>
  </w:style>
  <w:style w:type="character" w:styleId="ListLabel1">
    <w:name w:val="ListLabel 1"/>
    <w:qFormat/>
    <w:rPr>
      <w:rFonts w:cs="Wingdings"/>
      <w:sz w:val="20"/>
      <w:szCs w:val="20"/>
    </w:rPr>
  </w:style>
  <w:style w:type="character" w:styleId="ListLabel2">
    <w:name w:val="ListLabel 2"/>
    <w:qFormat/>
    <w:rPr>
      <w:rFonts w:ascii="Amnesty Trade Gothic" w:hAnsi="Amnesty Trade Gothic" w:cs="Wingdings"/>
      <w:sz w:val="23"/>
    </w:rPr>
  </w:style>
  <w:style w:type="character" w:styleId="ListLabel3">
    <w:name w:val="ListLabel 3"/>
    <w:qFormat/>
    <w:rPr>
      <w:rFonts w:cs="Wingdings"/>
      <w:sz w:val="20"/>
      <w:szCs w:val="20"/>
    </w:rPr>
  </w:style>
  <w:style w:type="character" w:styleId="ListLabel4">
    <w:name w:val="ListLabel 4"/>
    <w:qFormat/>
    <w:rPr>
      <w:rFonts w:ascii="Amnesty Trade Gothic" w:hAnsi="Amnesty Trade Gothic" w:cs="Wingdings"/>
      <w:sz w:val="23"/>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AIAufzhlung1Ebene">
    <w:name w:val="AI-Aufzählung-1.Ebene"/>
    <w:basedOn w:val="Normal"/>
    <w:qFormat/>
    <w:pPr>
      <w:spacing w:lineRule="atLeast" w:line="260" w:before="0" w:after="80"/>
    </w:pPr>
    <w:rPr/>
  </w:style>
  <w:style w:type="paragraph" w:styleId="AIFliesstextATG10">
    <w:name w:val="AI-Fliesstext-ATG-10"/>
    <w:basedOn w:val="Normal"/>
    <w:qFormat/>
    <w:pPr>
      <w:spacing w:lineRule="atLeast" w:line="260" w:before="0" w:after="200"/>
    </w:pPr>
    <w:rPr>
      <w:szCs w:val="20"/>
    </w:rPr>
  </w:style>
  <w:style w:type="paragraph" w:styleId="AIAufzhlung2Ebene">
    <w:name w:val="AI-Aufzählung-2.Ebene"/>
    <w:basedOn w:val="AIFliesstextATG10"/>
    <w:qFormat/>
    <w:pPr>
      <w:spacing w:before="0" w:after="80"/>
    </w:pPr>
    <w:rPr/>
  </w:style>
  <w:style w:type="paragraph" w:styleId="AIAufzhlung3Ebene">
    <w:name w:val="AI-Aufzählung-3.Ebene"/>
    <w:qFormat/>
    <w:pPr>
      <w:widowControl/>
      <w:overflowPunct w:val="true"/>
      <w:bidi w:val="0"/>
      <w:spacing w:lineRule="atLeast" w:line="260" w:before="0" w:after="80"/>
      <w:jc w:val="left"/>
    </w:pPr>
    <w:rPr>
      <w:rFonts w:ascii="Amnesty Trade Gothic" w:hAnsi="Amnesty Trade Gothic" w:eastAsia="Times New Roman" w:cs="Amnesty Trade Gothic"/>
      <w:color w:val="00000A"/>
      <w:sz w:val="20"/>
      <w:szCs w:val="20"/>
      <w:lang w:val="de-DE" w:eastAsia="zh-CN" w:bidi="ar-SA"/>
    </w:rPr>
  </w:style>
  <w:style w:type="paragraph" w:styleId="AIAufzhlungZiffernGliederung">
    <w:name w:val="AI-Aufzählung-Ziffern-Gliederung"/>
    <w:qFormat/>
    <w:pPr>
      <w:widowControl/>
      <w:overflowPunct w:val="true"/>
      <w:bidi w:val="0"/>
      <w:spacing w:lineRule="atLeast" w:line="260" w:before="0" w:after="80"/>
      <w:jc w:val="left"/>
    </w:pPr>
    <w:rPr>
      <w:rFonts w:ascii="Amnesty Trade Gothic" w:hAnsi="Amnesty Trade Gothic" w:eastAsia="Times New Roman" w:cs="Amnesty Trade Gothic"/>
      <w:color w:val="00000A"/>
      <w:sz w:val="20"/>
      <w:szCs w:val="20"/>
      <w:lang w:val="de-DE" w:eastAsia="zh-CN" w:bidi="ar-SA"/>
    </w:rPr>
  </w:style>
  <w:style w:type="paragraph" w:styleId="AIberschrift180pt90Abstand">
    <w:name w:val="AI-Überschrift1-80pt-90Abstand"/>
    <w:basedOn w:val="Normal"/>
    <w:qFormat/>
    <w:pPr>
      <w:spacing w:lineRule="exact" w:line="1800" w:before="0" w:after="1800"/>
    </w:pPr>
    <w:rPr>
      <w:rFonts w:ascii="Amnesty Trade Gothic Cn" w:hAnsi="Amnesty Trade Gothic Cn" w:cs="Amnesty Trade Gothic Cn"/>
      <w:b/>
      <w:bCs/>
      <w:caps/>
      <w:sz w:val="160"/>
      <w:szCs w:val="160"/>
    </w:rPr>
  </w:style>
  <w:style w:type="paragraph" w:styleId="AIberschrift240pt24Abstand">
    <w:name w:val="AI-Überschrift2-40pt-24Abstand"/>
    <w:basedOn w:val="Normal"/>
    <w:qFormat/>
    <w:pPr>
      <w:spacing w:lineRule="auto" w:line="240" w:before="0" w:after="0"/>
    </w:pPr>
    <w:rPr>
      <w:rFonts w:ascii="Amnesty Trade Gothic Cn" w:hAnsi="Amnesty Trade Gothic Cn" w:cs="Amnesty Trade Gothic Cn"/>
      <w:b/>
      <w:bCs/>
      <w:caps/>
      <w:sz w:val="80"/>
      <w:szCs w:val="80"/>
    </w:rPr>
  </w:style>
  <w:style w:type="paragraph" w:styleId="AIberschrift320pt24Abstand">
    <w:name w:val="AI-Überschrift3-20pt-24Abstand"/>
    <w:basedOn w:val="Normal"/>
    <w:qFormat/>
    <w:pPr>
      <w:spacing w:lineRule="exact" w:line="480" w:before="0" w:after="480"/>
    </w:pPr>
    <w:rPr>
      <w:rFonts w:ascii="Amnesty Trade Gothic Cn" w:hAnsi="Amnesty Trade Gothic Cn" w:cs="Amnesty Trade Gothic Cn"/>
      <w:b/>
      <w:caps/>
      <w:sz w:val="40"/>
    </w:rPr>
  </w:style>
  <w:style w:type="paragraph" w:styleId="AIberschrift180pt">
    <w:name w:val="AI-Überschrift1-80pt"/>
    <w:basedOn w:val="AIberschrift180pt90Abstand"/>
    <w:qFormat/>
    <w:pPr>
      <w:spacing w:before="0" w:after="0"/>
    </w:pPr>
    <w:rPr/>
  </w:style>
  <w:style w:type="paragraph" w:styleId="AIFliesstextATG10FGR">
    <w:name w:val="AI-Fliesstext-ATG-10-F-GR"/>
    <w:basedOn w:val="AIFliesstextATG10"/>
    <w:qFormat/>
    <w:pPr/>
    <w:rPr>
      <w:b/>
      <w:caps/>
    </w:rPr>
  </w:style>
  <w:style w:type="paragraph" w:styleId="AIFliesstextATG10ptFGRweiss">
    <w:name w:val="AI-Fliesstext-ATG-10pt-F-GR-weiss"/>
    <w:basedOn w:val="Normal"/>
    <w:qFormat/>
    <w:pPr>
      <w:spacing w:lineRule="exact" w:line="260"/>
    </w:pPr>
    <w:rPr>
      <w:b/>
      <w:color w:val="FFFFFF"/>
    </w:rPr>
  </w:style>
  <w:style w:type="paragraph" w:styleId="AIFliesstextATG10weiss">
    <w:name w:val="AI-Fliesstext-ATG-10-weiss"/>
    <w:basedOn w:val="Normal"/>
    <w:qFormat/>
    <w:pPr>
      <w:spacing w:lineRule="exact" w:line="260"/>
    </w:pPr>
    <w:rPr>
      <w:color w:val="FFFFFF"/>
      <w:szCs w:val="20"/>
    </w:rPr>
  </w:style>
  <w:style w:type="paragraph" w:styleId="AIKopfzeileATGCN10ptFGR">
    <w:name w:val="AI-Kopfzeile-ATGCN-10pt-F-GR"/>
    <w:basedOn w:val="Normal"/>
    <w:qFormat/>
    <w:pPr>
      <w:tabs>
        <w:tab w:val="center" w:pos="4536" w:leader="none"/>
        <w:tab w:val="right" w:pos="9072" w:leader="none"/>
      </w:tabs>
      <w:spacing w:lineRule="exact" w:line="260"/>
    </w:pPr>
    <w:rPr>
      <w:rFonts w:ascii="Amnesty Trade Gothic Cn" w:hAnsi="Amnesty Trade Gothic Cn" w:cs="Amnesty Trade Gothic Cn"/>
      <w:b/>
      <w:caps/>
      <w:szCs w:val="20"/>
    </w:rPr>
  </w:style>
  <w:style w:type="paragraph" w:styleId="AITabellentextATG8">
    <w:name w:val="AI-Tabellentext-ATG-8"/>
    <w:basedOn w:val="Normal"/>
    <w:qFormat/>
    <w:pPr>
      <w:spacing w:lineRule="atLeast" w:line="240"/>
      <w:textAlignment w:val="center"/>
    </w:pPr>
    <w:rPr>
      <w:rFonts w:ascii="Amnesty Trade Gothic Cn" w:hAnsi="Amnesty Trade Gothic Cn" w:cs="Amnesty Trade Gothic"/>
      <w:caps/>
      <w:color w:val="000000"/>
      <w:sz w:val="17"/>
      <w:szCs w:val="17"/>
    </w:rPr>
  </w:style>
  <w:style w:type="paragraph" w:styleId="AIberschrift240pt">
    <w:name w:val="AI-Überschrift2-40pt"/>
    <w:basedOn w:val="AIberschrift320pt24Abstand"/>
    <w:qFormat/>
    <w:pPr>
      <w:spacing w:lineRule="exact" w:line="900" w:before="0" w:after="0"/>
    </w:pPr>
    <w:rPr>
      <w:sz w:val="80"/>
    </w:rPr>
  </w:style>
  <w:style w:type="paragraph" w:styleId="AIberschrift320pt">
    <w:name w:val="AI-Überschrift3-20pt"/>
    <w:basedOn w:val="AIberschrift320pt24Abstand"/>
    <w:qFormat/>
    <w:pPr>
      <w:spacing w:before="0" w:after="0"/>
    </w:pPr>
    <w:rPr/>
  </w:style>
  <w:style w:type="paragraph" w:styleId="AIberschrift410pt20Abstand">
    <w:name w:val="AI-Überschrift4-10pt-20Abstand"/>
    <w:qFormat/>
    <w:pPr>
      <w:widowControl/>
      <w:overflowPunct w:val="true"/>
      <w:bidi w:val="0"/>
      <w:spacing w:lineRule="atLeast" w:line="260" w:before="0" w:after="400"/>
      <w:jc w:val="left"/>
      <w:textAlignment w:val="center"/>
    </w:pPr>
    <w:rPr>
      <w:rFonts w:ascii="Amnesty Trade Gothic Cn" w:hAnsi="Amnesty Trade Gothic Cn" w:eastAsia="Times New Roman" w:cs="Amnesty Trade Gothic Cn"/>
      <w:b/>
      <w:bCs/>
      <w:caps/>
      <w:color w:val="000000"/>
      <w:sz w:val="20"/>
      <w:szCs w:val="20"/>
      <w:lang w:val="de-DE" w:eastAsia="zh-CN" w:bidi="ar-SA"/>
    </w:rPr>
  </w:style>
  <w:style w:type="paragraph" w:styleId="AIberschrift410pt">
    <w:name w:val="AI-Überschrift4-10pt"/>
    <w:basedOn w:val="AIberschrift410pt20Abstand"/>
    <w:qFormat/>
    <w:pPr>
      <w:spacing w:before="0" w:after="0"/>
    </w:pPr>
    <w:rPr/>
  </w:style>
  <w:style w:type="paragraph" w:styleId="AIBildfenster">
    <w:name w:val="AI-Bildfenster"/>
    <w:basedOn w:val="AIFliesstextATG10"/>
    <w:qFormat/>
    <w:pPr>
      <w:spacing w:before="0" w:after="0"/>
    </w:pPr>
    <w:rPr>
      <w:lang w:val="en-GB" w:eastAsia="en-GB"/>
    </w:rPr>
  </w:style>
  <w:style w:type="paragraph" w:styleId="AIAufzhlungZiffern">
    <w:name w:val="AI-Aufzählung-Ziffern"/>
    <w:basedOn w:val="AIAufzhlungZiffernGliederung"/>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HeaderLeft">
    <w:name w:val="Header Left"/>
    <w:basedOn w:val="Normal"/>
    <w:qFormat/>
    <w:pPr>
      <w:suppressLineNumbers/>
      <w:tabs>
        <w:tab w:val="center" w:pos="4535" w:leader="none"/>
        <w:tab w:val="right" w:pos="907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139</TotalTime>
  <Application>LibreOffice/5.1.6.2$Linux_X86_64 LibreOffice_project/10m0$Build-2</Application>
  <Pages>1</Pages>
  <Words>370</Words>
  <Characters>2616</Characters>
  <CharactersWithSpaces>2974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2017-06-12T19:46:16Z</dcterms:created>
  <dc:creator>claude </dc:creator>
  <dc:description/>
  <dc:language>en-GB</dc:language>
  <cp:lastModifiedBy>claude </cp:lastModifiedBy>
  <cp:lastPrinted>2011-02-04T11:54:00Z</cp:lastPrinted>
  <dcterms:modified xsi:type="dcterms:W3CDTF">2017-06-20T10:23:41Z</dcterms:modified>
  <cp:revision>14</cp:revision>
  <dc:subject/>
  <dc:title>Adresse</dc:title>
</cp:coreProperties>
</file>